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116 IV 56</w:t>
      </w:r>
    </w:p>
    <w:p>
      <w:r>
        <w:t>Bundesgericht (BGE), 1990-02-23, DE</w:t>
      </w:r>
    </w:p>
    <w:p>
      <w:r>
        <w:rPr>
          <w:b/>
        </w:rPr>
        <w:t xml:space="preserve">Quelle: </w:t>
      </w:r>
      <w:r>
        <w:t>https://mcp.opencaselaw.ch/entscheid/bge_116 IV 56</w:t>
      </w:r>
    </w:p>
    <w:p>
      <w:r>
        <w:t>FR: ATF 116 IV 56</w:t>
      </w:r>
    </w:p>
    <w:p>
      <w:r>
        <w:t>IT: DTF 116 IV 56</w:t>
      </w:r>
    </w:p>
    <w:p>
      <w:pPr>
        <w:pStyle w:val="Heading2"/>
      </w:pPr>
      <w:r>
        <w:t>Regeste</w:t>
      </w:r>
    </w:p>
    <w:p>
      <w:r>
        <w:t>Regeste Art. 320 StGB; Verletzung des Amtsgeheimnisses. 1. Dem Amtsgeheimnis unterstehende Informationen stellen auch dann Amtsgeheimnisse dar, wenn sie materiell teilweise unrichtig sind und/oder nur Mutmassungen enthalten (E. II/1/a). 2. Wer unter Umgehung des Dienstweges einem Vorgesetzten Amtsgeheimnisse in der Annahme offenbart, dies sei für die Amtsführung des Vorgesetzten nötig, macht sich nicht der Verletzung des Amtsgeheimnisses schuldig (E. II/1/b). Art. 20 StGB; Rechtsirrtum. In casu bejaht, da der Täterin das Fehlen der richtigen Erkenntnis nicht zum Vorwurf gemacht werden konnte (E. II/3). Art. 173 Abs. 2 BStP; Kostenauflage bei Freispruch (E. III).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Elisabeth Kopp und Renate Schwob werden von der Anklage der Verletzung des Amtsgeheimnisses im Sinne von Art. 320 StGB freigesprochen.</w:t>
      </w:r>
    </w:p>
    <w:p>
      <w:r>
        <w:rPr>
          <w:b/>
        </w:rPr>
        <w:t>E. 2</w:t>
      </w:r>
    </w:p>
    <w:p>
      <w:r>
        <w:t>Katharina Schoop wird der Verletzung des Amtsgeheimnisses im Sinne von Art. 320 StGB schuldig gesprochen. Wegen Rechtsirrtums wird von einer Bestrafung Umgang genommen.</w:t>
      </w:r>
    </w:p>
    <w:p>
      <w:r>
        <w:rPr>
          <w:b/>
        </w:rPr>
        <w:t>E. 3</w:t>
      </w:r>
    </w:p>
    <w:p>
      <w:r>
        <w:t>Die Kosten, einschliesslich einer Gerichtsgebühr von Fr. 5'000.--, werden Elisabeth Kopp zu 4/10 und Katharina Schoop zu 1/10 auferlegt; im übrigen Umfang werden sie auf die Staatskasse genommen.</w:t>
      </w:r>
    </w:p>
    <w:p>
      <w:r>
        <w:rPr>
          <w:b/>
        </w:rPr>
        <w:t>E. 4</w:t>
      </w:r>
    </w:p>
    <w:p>
      <w:r>
        <w:t>Der Betrag der Verfahrenskosten und der Kanzleigebühren wird separat festgesetzt.</w:t>
      </w:r>
    </w:p>
    <w:p>
      <w:r>
        <w:rPr>
          <w:b/>
        </w:rPr>
        <w:t>E. 5</w:t>
      </w:r>
    </w:p>
    <w:p>
      <w:r>
        <w:t>Renate Schwob wird eine Parteientschädigung von Fr. 25'000.-- und eine Umtriebsentschädigung von Fr. 5'000.-- zu Lasten der Bundesgerichtskasse zugesprochen.</w:t>
      </w:r>
    </w:p>
    <w:p>
      <w:r>
        <w:rPr>
          <w:b/>
        </w:rPr>
        <w:t>E. 6</w:t>
      </w:r>
    </w:p>
    <w:p>
      <w:r>
        <w:t>Elisabeth Kopp und Katharina Schoop werden keine Entschädigungen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